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r>
        <w:t>Sample 011 — Advanced Tables</w:t>
      </w:r>
    </w:p>
    <w:p>
      <w:r>
        <w:t>Tests vMerge (vertical cell merging), w:shd (cell shading), and per-cell border overrides.</w:t>
      </w:r>
    </w:p>
    <w:tbl>
      <w:tblPr>
        <w:tblW w:w="0" w:type="auto"/>
        <w:tblBorders>
          <w:top w:val="single" w:sz="4" w:color="auto"/>
          <w:left w:val="single" w:sz="4" w:color="auto"/>
          <w:bottom w:val="single" w:sz="4" w:color="auto"/>
          <w:right w:val="single" w:sz="4" w:color="auto"/>
          <w:insideH w:val="single" w:sz="4" w:color="auto"/>
          <w:insideV w:val="single" w:sz="4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3000"/>
        <w:gridCol w:w="1200"/>
        <w:gridCol w:w="1800"/>
      </w:tblGrid>
      <w:tr>
        <w:tc>
          <w:tcPr>
            <w:tcW w:w="1800" w:type="dxa"/>
            <w:shd w:val="clear" w:color="auto" w:fill="2F5496"/>
            <w:tcBorders>
              <w:bottom w:val="single" w:sz="12" w:color="2F5496"/>
            </w:tcBorders>
          </w:tcPr>
          <w:p>
            <w:r>
              <w:t>Category</w:t>
            </w:r>
          </w:p>
        </w:tc>
        <w:tc>
          <w:tcPr>
            <w:tcW w:w="3000" w:type="dxa"/>
            <w:shd w:val="clear" w:color="auto" w:fill="2F5496"/>
            <w:tcBorders>
              <w:bottom w:val="single" w:sz="12" w:color="2F5496"/>
            </w:tcBorders>
          </w:tcPr>
          <w:p>
            <w:r>
              <w:t>Item</w:t>
            </w:r>
          </w:p>
        </w:tc>
        <w:tc>
          <w:tcPr>
            <w:tcW w:w="1200" w:type="dxa"/>
            <w:shd w:val="clear" w:color="auto" w:fill="2F5496"/>
            <w:tcBorders>
              <w:bottom w:val="single" w:sz="12" w:color="2F5496"/>
            </w:tcBorders>
          </w:tcPr>
          <w:p>
            <w:r>
              <w:t>Qty</w:t>
            </w:r>
          </w:p>
        </w:tc>
        <w:tc>
          <w:tcPr>
            <w:tcW w:w="1800" w:type="dxa"/>
            <w:shd w:val="clear" w:color="auto" w:fill="2F5496"/>
            <w:tcBorders>
              <w:bottom w:val="single" w:sz="12" w:color="2F5496"/>
            </w:tcBorders>
          </w:tcPr>
          <w:p>
            <w:r>
              <w:t>Status</w:t>
            </w:r>
          </w:p>
        </w:tc>
      </w:tr>
      <w:tr>
        <w:tc>
          <w:tcPr>
            <w:tcW w:w="1800" w:type="dxa"/>
            <w:vMerge w:val="restart"/>
          </w:tcPr>
          <w:p>
            <w:r>
              <w:t>Hardware</w:t>
            </w:r>
          </w:p>
        </w:tc>
        <w:tc>
          <w:tcPr>
            <w:tcW w:w="3000" w:type="dxa"/>
          </w:tcPr>
          <w:p>
            <w:r>
              <w:t>Laptop</w:t>
            </w:r>
          </w:p>
        </w:tc>
        <w:tc>
          <w:tcPr>
            <w:tcW w:w="1200" w:type="dxa"/>
          </w:tcPr>
          <w:p>
            <w:r>
              <w:t>12</w:t>
            </w:r>
          </w:p>
        </w:tc>
        <w:tc>
          <w:tcPr>
            <w:tcW w:w="1800" w:type="dxa"/>
            <w:shd w:val="clear" w:color="auto" w:fill="C6E0B4"/>
          </w:tcPr>
          <w:p>
            <w:r>
              <w:t>In stock</w:t>
            </w:r>
          </w:p>
        </w:tc>
      </w:tr>
      <w:tr>
        <w:tc>
          <w:tcPr>
            <w:tcW w:w="1800" w:type="dxa"/>
            <w:vMerge/>
          </w:tcPr>
          <w:p/>
        </w:tc>
        <w:tc>
          <w:tcPr>
            <w:tcW w:w="3000" w:type="dxa"/>
            <w:shd w:val="clear" w:color="auto" w:fill="F2F2F2"/>
          </w:tcPr>
          <w:p>
            <w:r>
              <w:t>Monitor</w:t>
            </w:r>
          </w:p>
        </w:tc>
        <w:tc>
          <w:tcPr>
            <w:tcW w:w="1200" w:type="dxa"/>
            <w:shd w:val="clear" w:color="auto" w:fill="F2F2F2"/>
          </w:tcPr>
          <w:p>
            <w:r>
              <w:t>8</w:t>
            </w:r>
          </w:p>
        </w:tc>
        <w:tc>
          <w:tcPr>
            <w:tcW w:w="1800" w:type="dxa"/>
            <w:shd w:val="clear" w:color="auto" w:fill="F4B084"/>
          </w:tcPr>
          <w:p>
            <w:r>
              <w:t>Low</w:t>
            </w:r>
          </w:p>
        </w:tc>
      </w:tr>
      <w:tr>
        <w:tc>
          <w:tcPr>
            <w:tcW w:w="1800" w:type="dxa"/>
            <w:vMerge/>
          </w:tcPr>
          <w:p/>
        </w:tc>
        <w:tc>
          <w:tcPr>
            <w:tcW w:w="3000" w:type="dxa"/>
          </w:tcPr>
          <w:p>
            <w:r>
              <w:t>Keyboard</w:t>
            </w:r>
          </w:p>
        </w:tc>
        <w:tc>
          <w:tcPr>
            <w:tcW w:w="1200" w:type="dxa"/>
          </w:tcPr>
          <w:p>
            <w:r>
              <w:t>0</w:t>
            </w:r>
          </w:p>
        </w:tc>
        <w:tc>
          <w:tcPr>
            <w:tcW w:w="1800" w:type="dxa"/>
            <w:shd w:val="clear" w:color="auto" w:fill="F4A6A6"/>
          </w:tcPr>
          <w:p>
            <w:r>
              <w:t>Out</w:t>
            </w:r>
          </w:p>
        </w:tc>
      </w:tr>
      <w:tr>
        <w:tc>
          <w:tcPr>
            <w:tcW w:w="1800" w:type="dxa"/>
            <w:vMerge w:val="restart"/>
          </w:tcPr>
          <w:p>
            <w:r>
              <w:t>Software</w:t>
            </w:r>
          </w:p>
        </w:tc>
        <w:tc>
          <w:tcPr>
            <w:tcW w:w="3000" w:type="dxa"/>
            <w:shd w:val="clear" w:color="auto" w:fill="F2F2F2"/>
          </w:tcPr>
          <w:p>
            <w:r>
              <w:t>Office</w:t>
            </w:r>
          </w:p>
        </w:tc>
        <w:tc>
          <w:tcPr>
            <w:tcW w:w="1200" w:type="dxa"/>
            <w:shd w:val="clear" w:color="auto" w:fill="F2F2F2"/>
          </w:tcPr>
          <w:p>
            <w:r>
              <w:t>50</w:t>
            </w:r>
          </w:p>
        </w:tc>
        <w:tc>
          <w:tcPr>
            <w:tcW w:w="1800" w:type="dxa"/>
            <w:shd w:val="clear" w:color="auto" w:fill="C6E0B4"/>
          </w:tcPr>
          <w:p>
            <w:r>
              <w:t>OK</w:t>
            </w:r>
          </w:p>
        </w:tc>
      </w:tr>
      <w:tr>
        <w:tc>
          <w:tcPr>
            <w:tcW w:w="1800" w:type="dxa"/>
            <w:vMerge/>
          </w:tcPr>
          <w:p/>
        </w:tc>
        <w:tc>
          <w:tcPr>
            <w:tcW w:w="3000" w:type="dxa"/>
          </w:tcPr>
          <w:p>
            <w:r>
              <w:t>Slack</w:t>
            </w:r>
          </w:p>
        </w:tc>
        <w:tc>
          <w:tcPr>
            <w:tcW w:w="1200" w:type="dxa"/>
          </w:tcPr>
          <w:p>
            <w:r>
              <w:t>25</w:t>
            </w:r>
          </w:p>
        </w:tc>
        <w:tc>
          <w:tcPr>
            <w:tcW w:w="1800" w:type="dxa"/>
            <w:shd w:val="clear" w:color="auto" w:fill="C6E0B4"/>
          </w:tcPr>
          <w:p>
            <w:r>
              <w:t>OK</w:t>
            </w:r>
          </w:p>
        </w:tc>
      </w:tr>
    </w:tbl>
    <w:p>
      <w:r>
        <w:t>Text following the table.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</w:rPr>
    </w:rPrDefault>
    <w:pPrDefault>
      <w:pPr>
        <w:spacing w:after="160" w:line="278" w:lineRule="auto"/>
      </w:pPr>
    </w:pPrDefault>
  </w:docDefaults>
  <w:style w:type="paragraph" w:default="1" w:styleId="Normal">
    <w:name w:val="Normal"/>
  </w:style>
  <w:style w:type="paragraph" w:styleId="Heading1">
    <w:name w:val="heading 1"/>
    <w:basedOn w:val="Normal"/>
    <w:pPr>
      <w:spacing w:before="360" w:after="80"/>
    </w:pPr>
    <w:rPr>
      <w:rFonts w:asciiTheme="majorHAnsi" w:hAnsiTheme="majorHAnsi"/>
      <w:color w:val="2F5496"/>
      <w:sz w:val="40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