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Lighting Design Report: Level 3 Office Fit-Out</w:t>
      </w:r>
    </w:p>
    <w:p>
      <w:r>
        <w:rPr>
          <w:i/>
          <w:color w:val="555555"/>
        </w:rPr>
        <w:t>Design stage report, revision B. Calculations for maintained illuminance, uniformity and lighting power density.</w:t>
      </w:r>
    </w:p>
    <w:p>
      <w:pPr>
        <w:pStyle w:val="Heading1"/>
      </w:pPr>
      <w:r>
        <w:t>1. Summary</w:t>
      </w:r>
    </w:p>
    <w:p>
      <w:r>
        <w:t>This report sets out the lighting design for the Level 3 office fit-out (about 1,150 m2). All spaces meet the target maintained illuminance and uniformity with LED luminaires. The installed lighting power density is 5.6 W/m2 against a code allowance of 8.9 W/m2, a 37% margin.</w:t>
      </w:r>
    </w:p>
    <w:p>
      <w:pPr>
        <w:pStyle w:val="ListBullet"/>
      </w:pPr>
      <w:r>
        <w:t>Open office: 532 lux average on the work plane, uniformity 0.64.</w:t>
      </w:r>
    </w:p>
    <w:p>
      <w:pPr>
        <w:pStyle w:val="ListBullet"/>
      </w:pPr>
      <w:r>
        <w:t>Meeting rooms: 388 to 455 lux with separate presentation scene.</w:t>
      </w:r>
    </w:p>
    <w:p>
      <w:pPr>
        <w:pStyle w:val="ListBullet"/>
      </w:pPr>
      <w:r>
        <w:t>All luminaires dimmable (DALI) with daylight sensors in the perimeter zone.</w:t>
      </w:r>
    </w:p>
    <w:p>
      <w:pPr>
        <w:pStyle w:val="ListBullet"/>
      </w:pPr>
      <w:r>
        <w:t>Emergency lighting to 1 lux on escape routes, 3 hour duration.</w:t>
      </w:r>
    </w:p>
    <w:p>
      <w:pPr>
        <w:pStyle w:val="Heading1"/>
      </w:pPr>
      <w:r>
        <w:t>2. Design criteria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872"/>
        <w:gridCol w:w="1872"/>
        <w:gridCol w:w="1872"/>
        <w:gridCol w:w="1872"/>
        <w:gridCol w:w="1872"/>
      </w:tblGrid>
      <w:tr>
        <w:tc>
          <w:tcPr>
            <w:tcW w:type="dxa" w:w="1872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Space</w:t>
            </w:r>
          </w:p>
        </w:tc>
        <w:tc>
          <w:tcPr>
            <w:tcW w:type="dxa" w:w="1872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Target (lux)</w:t>
            </w:r>
          </w:p>
        </w:tc>
        <w:tc>
          <w:tcPr>
            <w:tcW w:type="dxa" w:w="1872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Uniformity min.</w:t>
            </w:r>
          </w:p>
        </w:tc>
        <w:tc>
          <w:tcPr>
            <w:tcW w:type="dxa" w:w="1872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UGR max.</w:t>
            </w:r>
          </w:p>
        </w:tc>
        <w:tc>
          <w:tcPr>
            <w:tcW w:type="dxa" w:w="1872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Ra min.</w:t>
            </w:r>
          </w:p>
        </w:tc>
      </w:tr>
      <w:tr>
        <w:tc>
          <w:tcPr>
            <w:tcW w:type="dxa" w:w="1872"/>
          </w:tcPr>
          <w:p>
            <w:r>
              <w:rPr>
                <w:sz w:val="19"/>
              </w:rPr>
              <w:t>Open office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500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0.6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19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80</w:t>
            </w:r>
          </w:p>
        </w:tc>
      </w:tr>
      <w:tr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Meeting rooms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400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0.6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19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80</w:t>
            </w:r>
          </w:p>
        </w:tc>
      </w:tr>
      <w:tr>
        <w:tc>
          <w:tcPr>
            <w:tcW w:type="dxa" w:w="1872"/>
          </w:tcPr>
          <w:p>
            <w:r>
              <w:rPr>
                <w:sz w:val="19"/>
              </w:rPr>
              <w:t>Reception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300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0.4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22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80</w:t>
            </w:r>
          </w:p>
        </w:tc>
      </w:tr>
      <w:tr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Corridors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150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0.4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25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80</w:t>
            </w:r>
          </w:p>
        </w:tc>
      </w:tr>
      <w:tr>
        <w:tc>
          <w:tcPr>
            <w:tcW w:type="dxa" w:w="1872"/>
          </w:tcPr>
          <w:p>
            <w:r>
              <w:rPr>
                <w:sz w:val="19"/>
              </w:rPr>
              <w:t>Break room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200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0.4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22</w:t>
            </w:r>
          </w:p>
        </w:tc>
        <w:tc>
          <w:tcPr>
            <w:tcW w:type="dxa" w:w="1872"/>
          </w:tcPr>
          <w:p>
            <w:r>
              <w:rPr>
                <w:sz w:val="19"/>
              </w:rPr>
              <w:t>80</w:t>
            </w:r>
          </w:p>
        </w:tc>
      </w:tr>
      <w:tr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Print room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300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0.4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22</w:t>
            </w:r>
          </w:p>
        </w:tc>
        <w:tc>
          <w:tcPr>
            <w:tcW w:type="dxa" w:w="1872"/>
            <w:shd w:val="clear" w:color="auto" w:fill="EEF3F8"/>
          </w:tcPr>
          <w:p>
            <w:r>
              <w:rPr>
                <w:sz w:val="19"/>
              </w:rPr>
              <w:t>80</w:t>
            </w:r>
          </w:p>
        </w:tc>
      </w:tr>
    </w:tbl>
    <w:p/>
    <w:p>
      <w:pPr>
        <w:pStyle w:val="Heading1"/>
      </w:pPr>
      <w:r>
        <w:t>3. Calculation method</w:t>
      </w:r>
    </w:p>
    <w:p>
      <w:r>
        <w:t>Calculations use a 0.25 m grid on a 0.75 m work plane, with reflectances of 70% (ceiling), 50% (walls) and 20% (floor). A maintenance factor of 0.80 is applied, based on a clean office, 3 year cleaning cycle and L80 lumen maintenance at 50,000 hours.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120640" cy="318671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ux_grid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318671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Figure 1. Open office isolux plot: six 600 x 1200 luminaires per bay.</w:t>
      </w:r>
    </w:p>
    <w:p>
      <w:pPr>
        <w:pStyle w:val="Heading1"/>
      </w:pPr>
      <w:r>
        <w:t>4. Results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120640" cy="279629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ux_bars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20640" cy="279629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i/>
          <w:sz w:val="18"/>
        </w:rPr>
        <w:t>Figure 2. Target and calculated average illuminance by space.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560"/>
        <w:gridCol w:w="1560"/>
        <w:gridCol w:w="1560"/>
        <w:gridCol w:w="1560"/>
        <w:gridCol w:w="1560"/>
        <w:gridCol w:w="1560"/>
      </w:tblGrid>
      <w:tr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Space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Area (m2)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Luminaires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Avg (lux)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Min/avg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W/m2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Open office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640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96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532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0.64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5.9</w:t>
            </w:r>
          </w:p>
        </w:tc>
      </w:tr>
      <w:tr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Meeting 1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42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6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455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0.71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6.1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Meeting 2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36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4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388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0.66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4.8</w:t>
            </w:r>
          </w:p>
        </w:tc>
      </w:tr>
      <w:tr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Reception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85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10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341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0.52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4.4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Corridor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180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22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172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0.47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3.1</w:t>
            </w:r>
          </w:p>
        </w:tc>
      </w:tr>
      <w:tr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Break room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95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9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236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0.58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3.9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Print room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22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2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298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0.61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3.6</w:t>
            </w:r>
          </w:p>
        </w:tc>
      </w:tr>
    </w:tbl>
    <w:p/>
    <w:p>
      <w:pPr>
        <w:pStyle w:val="Heading1"/>
      </w:pPr>
      <w:r>
        <w:t>5. Controls</w:t>
      </w:r>
    </w:p>
    <w:p>
      <w:r>
        <w:t>Each open-office bay is a DALI group with an occupancy sensor (15 minute hold) and a daylight sensor for the first 4.5 m from the facade. Meeting rooms have a four-button scene panel: Full, Presentation (front row at 20%), Video call (vertical illuminance on faces 250 lux) and Off.</w:t>
      </w:r>
    </w:p>
    <w:p>
      <w:pPr>
        <w:pStyle w:val="Heading1"/>
      </w:pPr>
      <w:r>
        <w:t>6. Luminaire schedule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560"/>
        <w:gridCol w:w="1560"/>
        <w:gridCol w:w="1560"/>
        <w:gridCol w:w="1560"/>
        <w:gridCol w:w="1560"/>
        <w:gridCol w:w="1560"/>
      </w:tblGrid>
      <w:tr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Type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Description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Lumens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Watts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CCT</w:t>
            </w:r>
          </w:p>
        </w:tc>
        <w:tc>
          <w:tcPr>
            <w:tcW w:type="dxa" w:w="1560"/>
            <w:shd w:val="clear" w:color="auto" w:fill="3A7D44"/>
          </w:tcPr>
          <w:p>
            <w:r>
              <w:rPr>
                <w:sz w:val="19"/>
              </w:rPr>
            </w:r>
            <w:r>
              <w:rPr>
                <w:b/>
                <w:color w:val="FFFFFF"/>
                <w:sz w:val="19"/>
              </w:rPr>
              <w:t>Qty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L1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Recessed panel 600 x 1200, opal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4400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34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4000 K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96</w:t>
            </w:r>
          </w:p>
        </w:tc>
      </w:tr>
      <w:tr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L2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Recessed panel 600 x 600, opal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3200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26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4000 K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20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L3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Downlight 150 dia., wide beam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1800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15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3000 K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34</w:t>
            </w:r>
          </w:p>
        </w:tc>
      </w:tr>
      <w:tr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L4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Linear pendant, up/down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5200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42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3500 K</w:t>
            </w:r>
          </w:p>
        </w:tc>
        <w:tc>
          <w:tcPr>
            <w:tcW w:type="dxa" w:w="1560"/>
            <w:shd w:val="clear" w:color="auto" w:fill="EEF3F8"/>
          </w:tcPr>
          <w:p>
            <w:r>
              <w:rPr>
                <w:sz w:val="19"/>
              </w:rPr>
              <w:t>9</w:t>
            </w:r>
          </w:p>
        </w:tc>
      </w:tr>
      <w:tr>
        <w:tc>
          <w:tcPr>
            <w:tcW w:type="dxa" w:w="1560"/>
          </w:tcPr>
          <w:p>
            <w:r>
              <w:rPr>
                <w:sz w:val="19"/>
              </w:rPr>
              <w:t>EM1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Emergency bulkhead, 3 h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300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3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5000 K</w:t>
            </w:r>
          </w:p>
        </w:tc>
        <w:tc>
          <w:tcPr>
            <w:tcW w:type="dxa" w:w="1560"/>
          </w:tcPr>
          <w:p>
            <w:r>
              <w:rPr>
                <w:sz w:val="19"/>
              </w:rPr>
              <w:t>18</w:t>
            </w:r>
          </w:p>
        </w:tc>
      </w:tr>
    </w:tbl>
    <w:p/>
    <w:p>
      <w:pPr>
        <w:pStyle w:val="Heading1"/>
      </w:pPr>
      <w:r>
        <w:t>7. Open items</w:t>
      </w:r>
    </w:p>
    <w:p>
      <w:pPr>
        <w:pStyle w:val="ListNumber"/>
      </w:pPr>
      <w:r>
        <w:t>Confirm ceiling void depth above meeting rooms (duct clash, see RFI 014).</w:t>
      </w:r>
    </w:p>
    <w:p>
      <w:pPr>
        <w:pStyle w:val="ListNumber"/>
      </w:pPr>
      <w:r>
        <w:t>Client to approve 3500 K for the break room pendants.</w:t>
      </w:r>
    </w:p>
    <w:p>
      <w:pPr>
        <w:pStyle w:val="ListNumber"/>
      </w:pPr>
      <w:r>
        <w:t>Commissioning plan to be issued with the controls submittal.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96" w:right="1440" w:bottom="129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sz w:val="17"/>
      </w:rPr>
      <w:t>Prepared for design review. Values are calculated, not measured.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color w:val="666666"/>
        <w:sz w:val="17"/>
      </w:rPr>
      <w:t>Level 3 fit-out  |  Lighting design report  |  Rev B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Calibri" w:hAnsi="Calibri"/>
      <w:b/>
      <w:bCs/>
      <w:color w:val="3A7D44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Calibri" w:hAnsi="Calibri"/>
      <w:b/>
      <w:bCs/>
      <w:color w:val="3A7D44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Calibri" w:hAnsi="Calibri"/>
      <w:color w:val="3A7D44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Relationship Id="rId1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