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Site Meeting Minutes, Week 18</w:t>
      </w:r>
    </w:p>
    <w:p>
      <w:r>
        <w:rPr>
          <w:i/>
          <w:color w:val="555555"/>
        </w:rPr>
        <w:t>Community library extension. Meeting no. 18, held in the site office.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680"/>
        <w:gridCol w:w="4680"/>
      </w:tblGrid>
      <w:tr>
        <w:tc>
          <w:tcPr>
            <w:tcW w:type="dxa" w:w="432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Attendee</w:t>
            </w:r>
          </w:p>
        </w:tc>
        <w:tc>
          <w:tcPr>
            <w:tcW w:type="dxa" w:w="432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Role</w:t>
            </w:r>
          </w:p>
        </w:tc>
      </w:tr>
      <w:tr>
        <w:tc>
          <w:tcPr>
            <w:tcW w:type="dxa" w:w="4320"/>
          </w:tcPr>
          <w:p>
            <w:r>
              <w:rPr>
                <w:sz w:val="19"/>
              </w:rPr>
              <w:t>Project manager</w:t>
            </w:r>
          </w:p>
        </w:tc>
        <w:tc>
          <w:tcPr>
            <w:tcW w:type="dxa" w:w="4320"/>
          </w:tcPr>
          <w:p>
            <w:r>
              <w:rPr>
                <w:sz w:val="19"/>
              </w:rPr>
              <w:t>Owner representative</w:t>
            </w:r>
          </w:p>
        </w:tc>
      </w:tr>
      <w:tr>
        <w:tc>
          <w:tcPr>
            <w:tcW w:type="dxa" w:w="4320"/>
            <w:shd w:val="clear" w:color="auto" w:fill="EEF3F8"/>
          </w:tcPr>
          <w:p>
            <w:r>
              <w:rPr>
                <w:sz w:val="19"/>
              </w:rPr>
              <w:t>Site manager</w:t>
            </w:r>
          </w:p>
        </w:tc>
        <w:tc>
          <w:tcPr>
            <w:tcW w:type="dxa" w:w="4320"/>
            <w:shd w:val="clear" w:color="auto" w:fill="EEF3F8"/>
          </w:tcPr>
          <w:p>
            <w:r>
              <w:rPr>
                <w:sz w:val="19"/>
              </w:rPr>
              <w:t>Main contractor</w:t>
            </w:r>
          </w:p>
        </w:tc>
      </w:tr>
      <w:tr>
        <w:tc>
          <w:tcPr>
            <w:tcW w:type="dxa" w:w="4320"/>
          </w:tcPr>
          <w:p>
            <w:r>
              <w:rPr>
                <w:sz w:val="19"/>
              </w:rPr>
              <w:t>Architect</w:t>
            </w:r>
          </w:p>
        </w:tc>
        <w:tc>
          <w:tcPr>
            <w:tcW w:type="dxa" w:w="4320"/>
          </w:tcPr>
          <w:p>
            <w:r>
              <w:rPr>
                <w:sz w:val="19"/>
              </w:rPr>
              <w:t>Design team</w:t>
            </w:r>
          </w:p>
        </w:tc>
      </w:tr>
      <w:tr>
        <w:tc>
          <w:tcPr>
            <w:tcW w:type="dxa" w:w="4320"/>
            <w:shd w:val="clear" w:color="auto" w:fill="EEF3F8"/>
          </w:tcPr>
          <w:p>
            <w:r>
              <w:rPr>
                <w:sz w:val="19"/>
              </w:rPr>
              <w:t>Services engineer</w:t>
            </w:r>
          </w:p>
        </w:tc>
        <w:tc>
          <w:tcPr>
            <w:tcW w:type="dxa" w:w="4320"/>
            <w:shd w:val="clear" w:color="auto" w:fill="EEF3F8"/>
          </w:tcPr>
          <w:p>
            <w:r>
              <w:rPr>
                <w:sz w:val="19"/>
              </w:rPr>
              <w:t>Design team</w:t>
            </w:r>
          </w:p>
        </w:tc>
      </w:tr>
      <w:tr>
        <w:tc>
          <w:tcPr>
            <w:tcW w:type="dxa" w:w="4320"/>
          </w:tcPr>
          <w:p>
            <w:r>
              <w:rPr>
                <w:sz w:val="19"/>
              </w:rPr>
              <w:t>Structural engineer</w:t>
            </w:r>
          </w:p>
        </w:tc>
        <w:tc>
          <w:tcPr>
            <w:tcW w:type="dxa" w:w="4320"/>
          </w:tcPr>
          <w:p>
            <w:r>
              <w:rPr>
                <w:sz w:val="19"/>
              </w:rPr>
              <w:t>Design team (items 3 and 4 only)</w:t>
            </w:r>
          </w:p>
        </w:tc>
      </w:tr>
    </w:tbl>
    <w:p/>
    <w:p>
      <w:pPr>
        <w:pStyle w:val="Heading1"/>
      </w:pPr>
      <w:r>
        <w:t>1. Programme</w:t>
      </w:r>
    </w:p>
    <w:p>
      <w:r>
        <w:t>The contractor reported the project is one week behind on the steel frame because of a delayed delivery of roof purlins. Roofing will start in week 19 instead of week 18. The completion date is not affected because the MEP rough-in can run in parallel with roofing.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486400" cy="26818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ant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18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Figure 1. Updated programme. Dashed line marks this week.</w:t>
      </w:r>
    </w:p>
    <w:p>
      <w:pPr>
        <w:pStyle w:val="Heading1"/>
      </w:pPr>
      <w:r>
        <w:t>2. Health and safety</w:t>
      </w:r>
    </w:p>
    <w:p>
      <w:pPr>
        <w:pStyle w:val="ListBullet"/>
      </w:pPr>
      <w:r>
        <w:t>No reportable incidents since the last meeting (126 days).</w:t>
      </w:r>
    </w:p>
    <w:p>
      <w:pPr>
        <w:pStyle w:val="ListBullet"/>
      </w:pPr>
      <w:r>
        <w:t>Edge protection to be inspected after the roofing crew starts.</w:t>
      </w:r>
    </w:p>
    <w:p>
      <w:pPr>
        <w:pStyle w:val="ListBullet"/>
      </w:pPr>
      <w:r>
        <w:t>New starters must attend the induction before going on the roof.</w:t>
      </w:r>
    </w:p>
    <w:p>
      <w:pPr>
        <w:pStyle w:val="Heading1"/>
      </w:pPr>
      <w:r>
        <w:t>3. Design questions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c>
          <w:tcPr>
            <w:tcW w:type="dxa" w:w="234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RFI</w:t>
            </w:r>
          </w:p>
        </w:tc>
        <w:tc>
          <w:tcPr>
            <w:tcW w:type="dxa" w:w="234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Subject</w:t>
            </w:r>
          </w:p>
        </w:tc>
        <w:tc>
          <w:tcPr>
            <w:tcW w:type="dxa" w:w="234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Status</w:t>
            </w:r>
          </w:p>
        </w:tc>
        <w:tc>
          <w:tcPr>
            <w:tcW w:type="dxa" w:w="2340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Owner</w:t>
            </w:r>
          </w:p>
        </w:tc>
      </w:tr>
      <w:tr>
        <w:tc>
          <w:tcPr>
            <w:tcW w:type="dxa" w:w="2340"/>
          </w:tcPr>
          <w:p>
            <w:r>
              <w:rPr>
                <w:sz w:val="19"/>
              </w:rPr>
              <w:t>012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Reading room column grid at line C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Closed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Structural</w:t>
            </w:r>
          </w:p>
        </w:tc>
      </w:tr>
      <w:tr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013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Rooflight upstand height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Answered, see sketch SK-07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Architect</w:t>
            </w:r>
          </w:p>
        </w:tc>
      </w:tr>
      <w:tr>
        <w:tc>
          <w:tcPr>
            <w:tcW w:type="dxa" w:w="2340"/>
          </w:tcPr>
          <w:p>
            <w:r>
              <w:rPr>
                <w:sz w:val="19"/>
              </w:rPr>
              <w:t>014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Luminaire clash with supply duct, corridor 2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Open</w:t>
            </w:r>
          </w:p>
        </w:tc>
        <w:tc>
          <w:tcPr>
            <w:tcW w:type="dxa" w:w="2340"/>
          </w:tcPr>
          <w:p>
            <w:r>
              <w:rPr>
                <w:sz w:val="19"/>
              </w:rPr>
              <w:t>Services</w:t>
            </w:r>
          </w:p>
        </w:tc>
      </w:tr>
      <w:tr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015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Floor finish in children's area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Open</w:t>
            </w:r>
          </w:p>
        </w:tc>
        <w:tc>
          <w:tcPr>
            <w:tcW w:type="dxa" w:w="2340"/>
            <w:shd w:val="clear" w:color="auto" w:fill="EEF3F8"/>
          </w:tcPr>
          <w:p>
            <w:r>
              <w:rPr>
                <w:sz w:val="19"/>
              </w:rPr>
              <w:t>Architect</w:t>
            </w:r>
          </w:p>
        </w:tc>
      </w:tr>
    </w:tbl>
    <w:p/>
    <w:p>
      <w:pPr>
        <w:pStyle w:val="Heading1"/>
      </w:pPr>
      <w:r>
        <w:t>4. Actions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c>
          <w:tcPr>
            <w:tcW w:type="dxa" w:w="864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No.</w:t>
            </w:r>
          </w:p>
        </w:tc>
        <w:tc>
          <w:tcPr>
            <w:tcW w:type="dxa" w:w="4896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Action</w:t>
            </w:r>
          </w:p>
        </w:tc>
        <w:tc>
          <w:tcPr>
            <w:tcW w:type="dxa" w:w="2016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By</w:t>
            </w:r>
          </w:p>
        </w:tc>
        <w:tc>
          <w:tcPr>
            <w:tcW w:type="dxa" w:w="1296"/>
            <w:shd w:val="clear" w:color="auto" w:fill="6B3FA0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Due</w:t>
            </w:r>
          </w:p>
        </w:tc>
      </w:tr>
      <w:tr>
        <w:tc>
          <w:tcPr>
            <w:tcW w:type="dxa" w:w="864"/>
          </w:tcPr>
          <w:p>
            <w:r>
              <w:rPr>
                <w:sz w:val="19"/>
              </w:rPr>
              <w:t>18.1</w:t>
            </w:r>
          </w:p>
        </w:tc>
        <w:tc>
          <w:tcPr>
            <w:tcW w:type="dxa" w:w="4896"/>
          </w:tcPr>
          <w:p>
            <w:r>
              <w:rPr>
                <w:sz w:val="19"/>
              </w:rPr>
              <w:t>Issue revised steel delivery date in writing</w:t>
            </w:r>
          </w:p>
        </w:tc>
        <w:tc>
          <w:tcPr>
            <w:tcW w:type="dxa" w:w="2016"/>
          </w:tcPr>
          <w:p>
            <w:r>
              <w:rPr>
                <w:sz w:val="19"/>
              </w:rPr>
              <w:t>Contractor</w:t>
            </w:r>
          </w:p>
        </w:tc>
        <w:tc>
          <w:tcPr>
            <w:tcW w:type="dxa" w:w="1296"/>
          </w:tcPr>
          <w:p>
            <w:r>
              <w:rPr>
                <w:sz w:val="19"/>
              </w:rPr>
              <w:t>Week 19</w:t>
            </w:r>
          </w:p>
        </w:tc>
      </w:tr>
      <w:tr>
        <w:tc>
          <w:tcPr>
            <w:tcW w:type="dxa" w:w="864"/>
            <w:shd w:val="clear" w:color="auto" w:fill="EEF3F8"/>
          </w:tcPr>
          <w:p>
            <w:r>
              <w:rPr>
                <w:sz w:val="19"/>
              </w:rPr>
              <w:t>18.2</w:t>
            </w:r>
          </w:p>
        </w:tc>
        <w:tc>
          <w:tcPr>
            <w:tcW w:type="dxa" w:w="4896"/>
            <w:shd w:val="clear" w:color="auto" w:fill="EEF3F8"/>
          </w:tcPr>
          <w:p>
            <w:r>
              <w:rPr>
                <w:sz w:val="19"/>
              </w:rPr>
              <w:t>Answer RFI 014 with revised ceiling height</w:t>
            </w:r>
          </w:p>
        </w:tc>
        <w:tc>
          <w:tcPr>
            <w:tcW w:type="dxa" w:w="2016"/>
            <w:shd w:val="clear" w:color="auto" w:fill="EEF3F8"/>
          </w:tcPr>
          <w:p>
            <w:r>
              <w:rPr>
                <w:sz w:val="19"/>
              </w:rPr>
              <w:t>Services engineer</w:t>
            </w:r>
          </w:p>
        </w:tc>
        <w:tc>
          <w:tcPr>
            <w:tcW w:type="dxa" w:w="1296"/>
            <w:shd w:val="clear" w:color="auto" w:fill="EEF3F8"/>
          </w:tcPr>
          <w:p>
            <w:r>
              <w:rPr>
                <w:sz w:val="19"/>
              </w:rPr>
              <w:t>Week 19</w:t>
            </w:r>
          </w:p>
        </w:tc>
      </w:tr>
      <w:tr>
        <w:tc>
          <w:tcPr>
            <w:tcW w:type="dxa" w:w="864"/>
          </w:tcPr>
          <w:p>
            <w:r>
              <w:rPr>
                <w:sz w:val="19"/>
              </w:rPr>
              <w:t>18.3</w:t>
            </w:r>
          </w:p>
        </w:tc>
        <w:tc>
          <w:tcPr>
            <w:tcW w:type="dxa" w:w="4896"/>
          </w:tcPr>
          <w:p>
            <w:r>
              <w:rPr>
                <w:sz w:val="19"/>
              </w:rPr>
              <w:t>Confirm floor finish sample for RFI 015</w:t>
            </w:r>
          </w:p>
        </w:tc>
        <w:tc>
          <w:tcPr>
            <w:tcW w:type="dxa" w:w="2016"/>
          </w:tcPr>
          <w:p>
            <w:r>
              <w:rPr>
                <w:sz w:val="19"/>
              </w:rPr>
              <w:t>Architect</w:t>
            </w:r>
          </w:p>
        </w:tc>
        <w:tc>
          <w:tcPr>
            <w:tcW w:type="dxa" w:w="1296"/>
          </w:tcPr>
          <w:p>
            <w:r>
              <w:rPr>
                <w:sz w:val="19"/>
              </w:rPr>
              <w:t>Week 20</w:t>
            </w:r>
          </w:p>
        </w:tc>
      </w:tr>
      <w:tr>
        <w:tc>
          <w:tcPr>
            <w:tcW w:type="dxa" w:w="864"/>
            <w:shd w:val="clear" w:color="auto" w:fill="EEF3F8"/>
          </w:tcPr>
          <w:p>
            <w:r>
              <w:rPr>
                <w:sz w:val="19"/>
              </w:rPr>
              <w:t>18.4</w:t>
            </w:r>
          </w:p>
        </w:tc>
        <w:tc>
          <w:tcPr>
            <w:tcW w:type="dxa" w:w="4896"/>
            <w:shd w:val="clear" w:color="auto" w:fill="EEF3F8"/>
          </w:tcPr>
          <w:p>
            <w:r>
              <w:rPr>
                <w:sz w:val="19"/>
              </w:rPr>
              <w:t>Arrange roof edge protection inspection</w:t>
            </w:r>
          </w:p>
        </w:tc>
        <w:tc>
          <w:tcPr>
            <w:tcW w:type="dxa" w:w="2016"/>
            <w:shd w:val="clear" w:color="auto" w:fill="EEF3F8"/>
          </w:tcPr>
          <w:p>
            <w:r>
              <w:rPr>
                <w:sz w:val="19"/>
              </w:rPr>
              <w:t>Site manager</w:t>
            </w:r>
          </w:p>
        </w:tc>
        <w:tc>
          <w:tcPr>
            <w:tcW w:type="dxa" w:w="1296"/>
            <w:shd w:val="clear" w:color="auto" w:fill="EEF3F8"/>
          </w:tcPr>
          <w:p>
            <w:r>
              <w:rPr>
                <w:sz w:val="19"/>
              </w:rPr>
              <w:t>Week 19</w:t>
            </w:r>
          </w:p>
        </w:tc>
      </w:tr>
      <w:tr>
        <w:tc>
          <w:tcPr>
            <w:tcW w:type="dxa" w:w="864"/>
          </w:tcPr>
          <w:p>
            <w:r>
              <w:rPr>
                <w:sz w:val="19"/>
              </w:rPr>
              <w:t>18.5</w:t>
            </w:r>
          </w:p>
        </w:tc>
        <w:tc>
          <w:tcPr>
            <w:tcW w:type="dxa" w:w="4896"/>
          </w:tcPr>
          <w:p>
            <w:r>
              <w:rPr>
                <w:sz w:val="19"/>
              </w:rPr>
              <w:t>Circulate commissioning plan draft</w:t>
            </w:r>
          </w:p>
        </w:tc>
        <w:tc>
          <w:tcPr>
            <w:tcW w:type="dxa" w:w="2016"/>
          </w:tcPr>
          <w:p>
            <w:r>
              <w:rPr>
                <w:sz w:val="19"/>
              </w:rPr>
              <w:t>Services engineer</w:t>
            </w:r>
          </w:p>
        </w:tc>
        <w:tc>
          <w:tcPr>
            <w:tcW w:type="dxa" w:w="1296"/>
          </w:tcPr>
          <w:p>
            <w:r>
              <w:rPr>
                <w:sz w:val="19"/>
              </w:rPr>
              <w:t>Week 22</w:t>
            </w:r>
          </w:p>
        </w:tc>
      </w:tr>
    </w:tbl>
    <w:p/>
    <w:p>
      <w:pPr>
        <w:pStyle w:val="Heading1"/>
      </w:pPr>
      <w:r>
        <w:t>5. Next meeting</w:t>
      </w:r>
    </w:p>
    <w:p>
      <w:r>
        <w:t>Week 19, same time, in the site office. Site walk of the roof level after the meeting; bring hard hats, harnesses not required (edge protection in place).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7"/>
      </w:rPr>
      <w:t>Corrections to these minutes must be raised before the next meeting.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color w:val="666666"/>
        <w:sz w:val="17"/>
      </w:rPr>
      <w:t>Community library extension  |  Site meeting 18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6B3FA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6B3FA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6B3FA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